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auto"/>
        <w:rPr>
          <w:rFonts w:hint="eastAsia" w:eastAsia="仿宋"/>
          <w:b/>
          <w:color w:val="auto"/>
          <w:sz w:val="24"/>
          <w:highlight w:val="none"/>
          <w:lang w:val="en-US" w:eastAsia="zh-CN"/>
        </w:rPr>
      </w:pPr>
      <w:r>
        <w:rPr>
          <w:rFonts w:hint="eastAsia" w:eastAsia="仿宋"/>
          <w:b/>
          <w:color w:val="auto"/>
          <w:sz w:val="24"/>
          <w:highlight w:val="none"/>
          <w:lang w:val="en-US" w:eastAsia="zh-CN"/>
        </w:rPr>
        <w:t>浙江普洛得邦制药有限公司年产500吨AP091、60吨AP089生产线技改项目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auto"/>
        <w:rPr>
          <w:rFonts w:eastAsia="仿宋"/>
          <w:b/>
          <w:color w:val="auto"/>
          <w:sz w:val="24"/>
          <w:highlight w:val="none"/>
        </w:rPr>
      </w:pPr>
      <w:r>
        <w:rPr>
          <w:rFonts w:hint="eastAsia" w:eastAsia="仿宋"/>
          <w:b/>
          <w:color w:val="auto"/>
          <w:sz w:val="24"/>
          <w:highlight w:val="none"/>
          <w:lang w:val="en-US" w:eastAsia="zh-CN"/>
        </w:rPr>
        <w:t>环</w:t>
      </w:r>
      <w:r>
        <w:rPr>
          <w:rFonts w:eastAsia="仿宋"/>
          <w:b/>
          <w:color w:val="auto"/>
          <w:sz w:val="24"/>
          <w:highlight w:val="none"/>
        </w:rPr>
        <w:t>境影响评价公示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outlineLvl w:val="0"/>
        <w:rPr>
          <w:rFonts w:eastAsia="仿宋"/>
          <w:b/>
          <w:color w:val="auto"/>
          <w:szCs w:val="21"/>
          <w:highlight w:val="none"/>
        </w:rPr>
      </w:pPr>
      <w:r>
        <w:rPr>
          <w:rFonts w:eastAsia="仿宋"/>
          <w:b/>
          <w:color w:val="auto"/>
          <w:szCs w:val="21"/>
          <w:highlight w:val="none"/>
        </w:rPr>
        <w:t>一、建设项目基本情况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eastAsia" w:eastAsia="仿宋"/>
          <w:color w:val="auto"/>
          <w:kern w:val="24"/>
          <w:szCs w:val="21"/>
          <w:highlight w:val="none"/>
          <w:lang w:val="en-US" w:eastAsia="zh-CN"/>
        </w:rPr>
      </w:pPr>
      <w:r>
        <w:rPr>
          <w:rFonts w:hint="eastAsia" w:eastAsia="仿宋"/>
          <w:color w:val="auto"/>
          <w:kern w:val="24"/>
          <w:szCs w:val="21"/>
          <w:highlight w:val="none"/>
        </w:rPr>
        <w:t>项目名称：浙江普洛得邦制药有限公司年产500吨AP091、60吨AP089生产线技改项目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eastAsia" w:eastAsia="仿宋"/>
          <w:color w:val="auto"/>
          <w:kern w:val="24"/>
          <w:szCs w:val="21"/>
          <w:highlight w:val="none"/>
        </w:rPr>
      </w:pPr>
      <w:r>
        <w:rPr>
          <w:rFonts w:hint="eastAsia" w:eastAsia="仿宋"/>
          <w:color w:val="auto"/>
          <w:kern w:val="24"/>
          <w:szCs w:val="21"/>
          <w:highlight w:val="none"/>
        </w:rPr>
        <w:t>建设单位：浙江普洛得邦制药有限公司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eastAsia" w:eastAsia="仿宋"/>
          <w:color w:val="auto"/>
          <w:kern w:val="24"/>
          <w:szCs w:val="21"/>
          <w:highlight w:val="none"/>
        </w:rPr>
      </w:pPr>
      <w:r>
        <w:rPr>
          <w:rFonts w:hint="eastAsia" w:eastAsia="仿宋"/>
          <w:color w:val="auto"/>
          <w:kern w:val="24"/>
          <w:szCs w:val="21"/>
          <w:highlight w:val="none"/>
        </w:rPr>
        <w:t>建设地址：浙江省东阳市横店镇江南路519号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eastAsia="仿宋"/>
          <w:color w:val="auto"/>
          <w:kern w:val="24"/>
          <w:szCs w:val="21"/>
          <w:highlight w:val="none"/>
          <w:lang w:val="en-US" w:eastAsia="zh-CN"/>
        </w:rPr>
      </w:pPr>
      <w:r>
        <w:rPr>
          <w:rFonts w:hint="eastAsia" w:eastAsia="仿宋"/>
          <w:color w:val="auto"/>
          <w:kern w:val="24"/>
          <w:szCs w:val="21"/>
          <w:highlight w:val="none"/>
        </w:rPr>
        <w:t>项目性质：</w:t>
      </w:r>
      <w:r>
        <w:rPr>
          <w:rFonts w:hint="eastAsia" w:eastAsia="仿宋" w:cs="Times New Roman"/>
          <w:color w:val="auto"/>
          <w:kern w:val="24"/>
          <w:szCs w:val="21"/>
          <w:highlight w:val="none"/>
          <w:lang w:val="en-US" w:eastAsia="zh-CN"/>
        </w:rPr>
        <w:t>技改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left="420" w:leftChars="200" w:firstLine="0" w:firstLineChars="0"/>
        <w:textAlignment w:val="auto"/>
        <w:rPr>
          <w:rFonts w:hint="eastAsia" w:ascii="Times New Roman" w:hAnsi="Times New Roman" w:eastAsia="仿宋" w:cs="Times New Roman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4"/>
          <w:szCs w:val="21"/>
          <w:highlight w:val="none"/>
        </w:rPr>
        <w:t>建设内容及规模：</w:t>
      </w:r>
      <w:r>
        <w:rPr>
          <w:rFonts w:hint="eastAsia" w:ascii="Times New Roman" w:hAnsi="Times New Roman" w:eastAsia="仿宋" w:cs="Times New Roman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项目采用自主研发的AP091、AP089合成工艺技术，通过购置相关反应器、离心机、双锥干燥机、颗粒机等先进设备及DCS、PLC、TCU等自动化控制系统，打造现代化原料药生产车间。车间建成后，预计可形成年产500吨AP091、60吨AP089原料药产品的生产能力, 进一步提升得邦制药在国内医药制造领域的领先地位。项目预计可实现销售收入5~6亿元,利润1.5~1.9亿元。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outlineLvl w:val="0"/>
        <w:rPr>
          <w:rFonts w:eastAsia="仿宋"/>
          <w:b/>
          <w:color w:val="auto"/>
          <w:szCs w:val="21"/>
          <w:highlight w:val="none"/>
        </w:rPr>
      </w:pPr>
      <w:r>
        <w:rPr>
          <w:rFonts w:eastAsia="仿宋"/>
          <w:b/>
          <w:color w:val="auto"/>
          <w:szCs w:val="21"/>
          <w:highlight w:val="none"/>
        </w:rPr>
        <w:t>二、环境影响评价范围内主要环境敏感目标分布情况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12" w:firstLineChars="200"/>
        <w:textAlignment w:val="auto"/>
        <w:rPr>
          <w:rFonts w:eastAsia="仿宋"/>
          <w:color w:val="auto"/>
          <w:spacing w:val="-2"/>
          <w:kern w:val="24"/>
          <w:szCs w:val="21"/>
          <w:highlight w:val="none"/>
        </w:rPr>
      </w:pPr>
      <w:r>
        <w:rPr>
          <w:rFonts w:eastAsia="仿宋"/>
          <w:color w:val="auto"/>
          <w:spacing w:val="-2"/>
          <w:kern w:val="24"/>
          <w:szCs w:val="21"/>
          <w:highlight w:val="none"/>
        </w:rPr>
        <w:t>本项目评价范围内主要敏感目标分布详见表1。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12" w:firstLineChars="200"/>
        <w:jc w:val="center"/>
        <w:textAlignment w:val="auto"/>
        <w:rPr>
          <w:rFonts w:eastAsia="仿宋"/>
          <w:color w:val="auto"/>
          <w:spacing w:val="-2"/>
          <w:kern w:val="24"/>
          <w:szCs w:val="21"/>
          <w:highlight w:val="none"/>
        </w:rPr>
      </w:pPr>
      <w:r>
        <w:rPr>
          <w:rFonts w:eastAsia="仿宋"/>
          <w:color w:val="auto"/>
          <w:spacing w:val="-2"/>
          <w:kern w:val="24"/>
          <w:szCs w:val="21"/>
          <w:highlight w:val="none"/>
        </w:rPr>
        <w:t>表1  本项目主要敏感目标一览表</w:t>
      </w:r>
    </w:p>
    <w:tbl>
      <w:tblPr>
        <w:tblStyle w:val="11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70"/>
        <w:gridCol w:w="923"/>
        <w:gridCol w:w="1071"/>
        <w:gridCol w:w="1161"/>
        <w:gridCol w:w="1165"/>
        <w:gridCol w:w="720"/>
        <w:gridCol w:w="710"/>
        <w:gridCol w:w="670"/>
        <w:gridCol w:w="830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tblHeader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分类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环境保护目标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UTM坐标/m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保护对象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保护内容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相对厂址方位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相对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得邦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厂界距离/m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环境功能区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社区/行政村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下辖自然村</w:t>
            </w:r>
          </w:p>
        </w:tc>
        <w:tc>
          <w:tcPr>
            <w:tcW w:w="1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X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Y</w:t>
            </w:r>
          </w:p>
        </w:tc>
        <w:tc>
          <w:tcPr>
            <w:tcW w:w="11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户数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人数</w:t>
            </w:r>
          </w:p>
        </w:tc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大气、风险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维风社区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莲塘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233735.985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3227609.296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1047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2552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1030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环境空气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二类区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下莲塘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233773.469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3227334.712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870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城头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234273.046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3227613.463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690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夏源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234803.415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3227779.656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188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桥下社区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上湖田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236949.778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3228084.129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1685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4272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1625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群峰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236740.653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3227890.779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1285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黄珊庄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236360.462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3227530.632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915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任湖田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235986.342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3227615.426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610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金宅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234805.476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3226516.975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108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荷叶塘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234806.716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3226209.916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东里塘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235366.271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3226551.589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418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桐坞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236088.796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3226713.400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660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任湖田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小学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235781.601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3227277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文化区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295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横店二中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236434.628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3229904.635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文化区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2770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路西村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路西村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232967.193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3224390.269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611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1553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2730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联盟村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樟庄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233049.627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3225684.316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363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1041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1905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新屋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232850.649</w:t>
            </w: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3225754.413</w:t>
            </w:r>
          </w:p>
        </w:tc>
        <w:tc>
          <w:tcPr>
            <w:tcW w:w="11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2060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上石头</w:t>
            </w:r>
          </w:p>
        </w:tc>
        <w:tc>
          <w:tcPr>
            <w:tcW w:w="1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232667.046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3225543.300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2360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富贤塘村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富贤塘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232562.085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3226729.864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398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920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1940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山头何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232909.149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3226738.415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1660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五官塘村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五官塘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232652.524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3226129.149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467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1182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2085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马山前村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马山前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232371.532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3227783.959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525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1352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2355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中兴联村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尚伦庄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236035.335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3225437.735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582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1467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1585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中兴联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235517.031</w:t>
            </w: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3224983.211</w:t>
            </w:r>
          </w:p>
        </w:tc>
        <w:tc>
          <w:tcPr>
            <w:tcW w:w="11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1600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北宅</w:t>
            </w:r>
          </w:p>
        </w:tc>
        <w:tc>
          <w:tcPr>
            <w:tcW w:w="1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235127.759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3224778.007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1760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七一村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237769.212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3224324.464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337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893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3470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米塘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233795.085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3228913.408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687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1689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1645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荷栖泽村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234890.768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3224200.377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612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1541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2155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风险</w:t>
            </w:r>
          </w:p>
        </w:tc>
        <w:tc>
          <w:tcPr>
            <w:tcW w:w="20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官桥村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233439.240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3223255.861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877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2199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3435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仁堂村</w:t>
            </w:r>
          </w:p>
        </w:tc>
        <w:tc>
          <w:tcPr>
            <w:tcW w:w="1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232632.271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3223903.597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312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834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3420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柏塔村</w:t>
            </w:r>
          </w:p>
        </w:tc>
        <w:tc>
          <w:tcPr>
            <w:tcW w:w="1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232498.510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3222158.528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456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1205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4700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八一村</w:t>
            </w:r>
          </w:p>
        </w:tc>
        <w:tc>
          <w:tcPr>
            <w:tcW w:w="1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236792.932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3223401.998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350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953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3520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绕溪村</w:t>
            </w:r>
          </w:p>
        </w:tc>
        <w:tc>
          <w:tcPr>
            <w:tcW w:w="1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239304.198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3223153.562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246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662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5490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横祥小学</w:t>
            </w:r>
          </w:p>
        </w:tc>
        <w:tc>
          <w:tcPr>
            <w:tcW w:w="1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239585.397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3226171.678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文化区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4265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横店一中</w:t>
            </w:r>
          </w:p>
        </w:tc>
        <w:tc>
          <w:tcPr>
            <w:tcW w:w="1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238987.858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3228067.714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文化区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3590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横店中心小学</w:t>
            </w:r>
          </w:p>
        </w:tc>
        <w:tc>
          <w:tcPr>
            <w:tcW w:w="1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239360.456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3228099.673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文化区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4025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金马村</w:t>
            </w:r>
          </w:p>
        </w:tc>
        <w:tc>
          <w:tcPr>
            <w:tcW w:w="1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240333.521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3228791.522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207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4990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屏岩社区</w:t>
            </w:r>
          </w:p>
        </w:tc>
        <w:tc>
          <w:tcPr>
            <w:tcW w:w="9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张山坞</w:t>
            </w:r>
          </w:p>
        </w:tc>
        <w:tc>
          <w:tcPr>
            <w:tcW w:w="1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235185.024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3231426.598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3000</w:t>
            </w:r>
          </w:p>
        </w:tc>
        <w:tc>
          <w:tcPr>
            <w:tcW w:w="7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8500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3715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祝坞</w:t>
            </w:r>
          </w:p>
        </w:tc>
        <w:tc>
          <w:tcPr>
            <w:tcW w:w="1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234643.002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3232279.358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4760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岩前</w:t>
            </w:r>
          </w:p>
        </w:tc>
        <w:tc>
          <w:tcPr>
            <w:tcW w:w="1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236766.424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3231259.127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3935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南上湖社区</w:t>
            </w:r>
          </w:p>
        </w:tc>
        <w:tc>
          <w:tcPr>
            <w:tcW w:w="9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泗塘</w:t>
            </w:r>
          </w:p>
        </w:tc>
        <w:tc>
          <w:tcPr>
            <w:tcW w:w="1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239211.163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3231822.683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2800</w:t>
            </w:r>
          </w:p>
        </w:tc>
        <w:tc>
          <w:tcPr>
            <w:tcW w:w="7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7400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5900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夏溪滩</w:t>
            </w:r>
          </w:p>
        </w:tc>
        <w:tc>
          <w:tcPr>
            <w:tcW w:w="1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240418.656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3231279.800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6390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六联村</w:t>
            </w:r>
          </w:p>
        </w:tc>
        <w:tc>
          <w:tcPr>
            <w:tcW w:w="92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上沧浪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233105.733</w:t>
            </w: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3231291.147</w:t>
            </w:r>
          </w:p>
        </w:tc>
        <w:tc>
          <w:tcPr>
            <w:tcW w:w="11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410</w:t>
            </w:r>
          </w:p>
        </w:tc>
        <w:tc>
          <w:tcPr>
            <w:tcW w:w="7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1020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4360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2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波浪山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232909.534</w:t>
            </w: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3230180.642</w:t>
            </w:r>
          </w:p>
        </w:tc>
        <w:tc>
          <w:tcPr>
            <w:tcW w:w="11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居住区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西北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3450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地表水</w:t>
            </w:r>
          </w:p>
        </w:tc>
        <w:tc>
          <w:tcPr>
            <w:tcW w:w="6920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</w:rPr>
              <w:t>南江（钱塘155段）</w:t>
            </w: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</w:rPr>
              <w:t>北侧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</w:rPr>
              <w:t>毗邻</w:t>
            </w: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</w:rPr>
              <w:t>地下水</w:t>
            </w:r>
          </w:p>
        </w:tc>
        <w:tc>
          <w:tcPr>
            <w:tcW w:w="6920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</w:rPr>
              <w:t>项目所在地附近地下水</w:t>
            </w: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</w:rPr>
              <w:t>声环境</w:t>
            </w:r>
          </w:p>
        </w:tc>
        <w:tc>
          <w:tcPr>
            <w:tcW w:w="6920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得邦厂界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</w:rPr>
              <w:t>外延200米范围内的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居民区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</w:rPr>
              <w:t>敏感保护目标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金宅村、夏源村</w:t>
            </w: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南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108</w:t>
            </w: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土壤</w:t>
            </w:r>
          </w:p>
        </w:tc>
        <w:tc>
          <w:tcPr>
            <w:tcW w:w="6920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得邦厂界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</w:rPr>
              <w:t>外延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</w:rPr>
              <w:t>米范围内的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居民区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耕地等土壤环境敏感目标：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下莲塘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城头、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夏源村、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t>黄珊庄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任湖田、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金宅村、荷叶塘、东里塘、桐坞。</w:t>
            </w: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南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108</w:t>
            </w: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left="0" w:leftChars="0" w:firstLine="0" w:firstLineChars="0"/>
        <w:textAlignment w:val="auto"/>
        <w:rPr>
          <w:color w:val="FF000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outlineLvl w:val="0"/>
        <w:rPr>
          <w:rFonts w:eastAsia="仿宋"/>
          <w:b/>
          <w:color w:val="auto"/>
          <w:szCs w:val="21"/>
          <w:highlight w:val="none"/>
        </w:rPr>
      </w:pPr>
      <w:r>
        <w:rPr>
          <w:rFonts w:eastAsia="仿宋"/>
          <w:b/>
          <w:color w:val="auto"/>
          <w:szCs w:val="21"/>
          <w:highlight w:val="none"/>
        </w:rPr>
        <w:t>三、主要环境影响预测情况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  <w:highlight w:val="none"/>
        </w:rPr>
      </w:pPr>
      <w:r>
        <w:rPr>
          <w:rFonts w:eastAsia="仿宋"/>
          <w:bCs/>
          <w:color w:val="auto"/>
          <w:szCs w:val="21"/>
          <w:highlight w:val="none"/>
        </w:rPr>
        <w:t>1、废气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eastAsia" w:eastAsia="仿宋"/>
          <w:bCs/>
          <w:color w:val="auto"/>
          <w:szCs w:val="21"/>
          <w:highlight w:val="none"/>
        </w:rPr>
      </w:pPr>
      <w:r>
        <w:rPr>
          <w:rFonts w:hint="eastAsia" w:eastAsia="仿宋"/>
          <w:bCs/>
          <w:color w:val="auto"/>
          <w:szCs w:val="21"/>
          <w:highlight w:val="none"/>
        </w:rPr>
        <w:t>正常工况下，本项目</w:t>
      </w:r>
      <w:r>
        <w:rPr>
          <w:rFonts w:hint="eastAsia" w:eastAsia="仿宋"/>
          <w:bCs/>
          <w:color w:val="auto"/>
          <w:szCs w:val="21"/>
          <w:highlight w:val="none"/>
          <w:lang w:val="en-US" w:eastAsia="zh-CN"/>
        </w:rPr>
        <w:t>四氢呋喃、三乙胺、乙酸、乙酸丁酯、甲醇、丙酮、氯化氢等</w:t>
      </w:r>
      <w:r>
        <w:rPr>
          <w:rFonts w:hint="eastAsia" w:eastAsia="仿宋"/>
          <w:bCs/>
          <w:color w:val="auto"/>
          <w:szCs w:val="21"/>
          <w:highlight w:val="none"/>
        </w:rPr>
        <w:t>排放最大小时落地浓度贡献值都能达到相应环境标准限值要求，对周边环境影响不大</w:t>
      </w:r>
      <w:r>
        <w:rPr>
          <w:rFonts w:eastAsia="仿宋"/>
          <w:bCs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  <w:highlight w:val="none"/>
        </w:rPr>
      </w:pPr>
      <w:r>
        <w:rPr>
          <w:rFonts w:eastAsia="仿宋"/>
          <w:bCs/>
          <w:color w:val="auto"/>
          <w:szCs w:val="21"/>
          <w:highlight w:val="none"/>
        </w:rPr>
        <w:t>2、废水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eastAsia" w:eastAsia="仿宋"/>
          <w:bCs/>
          <w:color w:val="auto"/>
          <w:szCs w:val="21"/>
          <w:highlight w:val="none"/>
        </w:rPr>
      </w:pPr>
      <w:r>
        <w:rPr>
          <w:rFonts w:hint="eastAsia" w:eastAsia="仿宋"/>
          <w:bCs/>
          <w:color w:val="auto"/>
          <w:szCs w:val="21"/>
          <w:highlight w:val="none"/>
        </w:rPr>
        <w:t>本项目</w:t>
      </w:r>
      <w:r>
        <w:rPr>
          <w:rFonts w:hint="eastAsia" w:eastAsia="仿宋"/>
          <w:bCs/>
          <w:color w:val="auto"/>
          <w:szCs w:val="21"/>
          <w:highlight w:val="none"/>
          <w:lang w:val="en-US" w:eastAsia="zh-CN"/>
        </w:rPr>
        <w:t>废</w:t>
      </w:r>
      <w:r>
        <w:rPr>
          <w:rFonts w:hint="eastAsia" w:eastAsia="仿宋"/>
          <w:bCs/>
          <w:color w:val="auto"/>
          <w:szCs w:val="21"/>
          <w:highlight w:val="none"/>
        </w:rPr>
        <w:t>水中所含的有机污染物为</w:t>
      </w:r>
      <w:r>
        <w:rPr>
          <w:rFonts w:hint="eastAsia" w:eastAsia="仿宋"/>
          <w:bCs/>
          <w:color w:val="auto"/>
          <w:szCs w:val="21"/>
          <w:highlight w:val="none"/>
          <w:lang w:val="en-US" w:eastAsia="zh-CN"/>
        </w:rPr>
        <w:t>四氢呋喃、乙酸丁酯、甲醇、丙酮</w:t>
      </w:r>
      <w:r>
        <w:rPr>
          <w:rFonts w:hint="eastAsia" w:eastAsia="仿宋"/>
          <w:bCs/>
          <w:color w:val="auto"/>
          <w:szCs w:val="21"/>
          <w:highlight w:val="none"/>
        </w:rPr>
        <w:t>等，</w:t>
      </w:r>
      <w:r>
        <w:rPr>
          <w:rFonts w:hint="eastAsia" w:eastAsia="仿宋"/>
          <w:bCs/>
          <w:color w:val="auto"/>
          <w:szCs w:val="21"/>
          <w:highlight w:val="none"/>
          <w:lang w:val="en-US" w:eastAsia="zh-CN"/>
        </w:rPr>
        <w:t>经</w:t>
      </w:r>
      <w:r>
        <w:rPr>
          <w:rFonts w:hint="eastAsia" w:eastAsia="仿宋"/>
          <w:bCs/>
          <w:color w:val="auto"/>
          <w:szCs w:val="21"/>
          <w:highlight w:val="none"/>
        </w:rPr>
        <w:t>污水处理</w:t>
      </w:r>
      <w:r>
        <w:rPr>
          <w:rFonts w:hint="eastAsia" w:eastAsia="仿宋"/>
          <w:bCs/>
          <w:color w:val="auto"/>
          <w:szCs w:val="21"/>
          <w:highlight w:val="none"/>
          <w:lang w:val="en-US" w:eastAsia="zh-CN"/>
        </w:rPr>
        <w:t>站处理后</w:t>
      </w:r>
      <w:r>
        <w:rPr>
          <w:rFonts w:hint="eastAsia" w:eastAsia="仿宋"/>
          <w:bCs/>
          <w:color w:val="auto"/>
          <w:szCs w:val="21"/>
          <w:highlight w:val="none"/>
        </w:rPr>
        <w:t>废水污染物平均浓度均低于纳管值，废水依托</w:t>
      </w:r>
      <w:r>
        <w:rPr>
          <w:rFonts w:hint="eastAsia" w:eastAsia="仿宋"/>
          <w:bCs/>
          <w:color w:val="auto"/>
          <w:szCs w:val="21"/>
          <w:highlight w:val="none"/>
          <w:lang w:val="en-US" w:eastAsia="zh-CN"/>
        </w:rPr>
        <w:t>横店</w:t>
      </w:r>
      <w:r>
        <w:rPr>
          <w:rFonts w:hint="eastAsia" w:eastAsia="仿宋"/>
          <w:bCs/>
          <w:color w:val="auto"/>
          <w:szCs w:val="21"/>
          <w:highlight w:val="none"/>
        </w:rPr>
        <w:t>污水处理厂，不会影响污水处理厂稳定达标排放。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  <w:highlight w:val="none"/>
        </w:rPr>
      </w:pPr>
      <w:r>
        <w:rPr>
          <w:rFonts w:hint="eastAsia" w:eastAsia="仿宋"/>
          <w:bCs/>
          <w:color w:val="auto"/>
          <w:szCs w:val="21"/>
          <w:highlight w:val="none"/>
        </w:rPr>
        <w:t>综上所述，本项目废水排放不会对周边地表水环境质量产生明显的影响</w:t>
      </w:r>
      <w:r>
        <w:rPr>
          <w:rFonts w:eastAsia="仿宋"/>
          <w:bCs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  <w:highlight w:val="none"/>
        </w:rPr>
      </w:pPr>
      <w:r>
        <w:rPr>
          <w:rFonts w:eastAsia="仿宋"/>
          <w:bCs/>
          <w:color w:val="auto"/>
          <w:szCs w:val="21"/>
          <w:highlight w:val="none"/>
        </w:rPr>
        <w:t>3、噪声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  <w:highlight w:val="none"/>
        </w:rPr>
      </w:pPr>
      <w:r>
        <w:rPr>
          <w:rFonts w:eastAsia="仿宋"/>
          <w:bCs/>
          <w:color w:val="auto"/>
          <w:szCs w:val="21"/>
          <w:highlight w:val="none"/>
        </w:rPr>
        <w:t>项目做好噪声防治措施，厂界噪声可达标，不会改变区域声环境功能。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  <w:highlight w:val="none"/>
        </w:rPr>
      </w:pPr>
      <w:r>
        <w:rPr>
          <w:rFonts w:eastAsia="仿宋"/>
          <w:bCs/>
          <w:color w:val="auto"/>
          <w:szCs w:val="21"/>
          <w:highlight w:val="none"/>
        </w:rPr>
        <w:t>4、固废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  <w:highlight w:val="none"/>
        </w:rPr>
      </w:pPr>
      <w:r>
        <w:rPr>
          <w:rFonts w:eastAsia="仿宋"/>
          <w:bCs/>
          <w:color w:val="auto"/>
          <w:szCs w:val="21"/>
          <w:highlight w:val="none"/>
        </w:rPr>
        <w:t>项目对固废分类采取措施后，固废处置不会对周围环境产生明显影响。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outlineLvl w:val="0"/>
        <w:rPr>
          <w:rFonts w:eastAsia="仿宋"/>
          <w:b/>
          <w:color w:val="auto"/>
          <w:szCs w:val="21"/>
          <w:highlight w:val="none"/>
        </w:rPr>
      </w:pPr>
      <w:r>
        <w:rPr>
          <w:rFonts w:eastAsia="仿宋"/>
          <w:b/>
          <w:color w:val="auto"/>
          <w:szCs w:val="21"/>
          <w:highlight w:val="none"/>
        </w:rPr>
        <w:t>四、拟采取的主要环境保护措施、环境风险防范措施以及预期效果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eastAsia" w:eastAsia="仿宋"/>
          <w:bCs/>
          <w:color w:val="auto"/>
          <w:szCs w:val="21"/>
          <w:highlight w:val="none"/>
          <w:lang w:val="en-US" w:eastAsia="zh-CN"/>
        </w:rPr>
      </w:pPr>
      <w:r>
        <w:rPr>
          <w:rFonts w:eastAsia="仿宋"/>
          <w:bCs/>
          <w:color w:val="auto"/>
          <w:szCs w:val="21"/>
          <w:highlight w:val="none"/>
        </w:rPr>
        <w:t>1、废气</w:t>
      </w:r>
      <w:r>
        <w:rPr>
          <w:rFonts w:hint="eastAsia" w:eastAsia="仿宋"/>
          <w:bCs/>
          <w:color w:val="auto"/>
          <w:szCs w:val="21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eastAsia" w:ascii="Times New Roman" w:hAnsi="Times New Roman" w:eastAsia="仿宋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color w:val="auto"/>
          <w:szCs w:val="21"/>
          <w:highlight w:val="none"/>
        </w:rPr>
        <w:t>本项目废气采用分类收集、分质处理思路</w:t>
      </w:r>
      <w:r>
        <w:rPr>
          <w:rFonts w:hint="eastAsia" w:ascii="Times New Roman" w:hAnsi="Times New Roman" w:eastAsia="仿宋" w:cs="Times New Roman"/>
          <w:bCs/>
          <w:color w:val="auto"/>
          <w:szCs w:val="21"/>
          <w:highlight w:val="none"/>
          <w:lang w:eastAsia="zh-CN"/>
        </w:rPr>
        <w:t>。</w:t>
      </w:r>
      <w:r>
        <w:rPr>
          <w:rFonts w:hint="eastAsia" w:eastAsia="仿宋" w:cs="Times New Roman"/>
          <w:bCs/>
          <w:color w:val="auto"/>
          <w:szCs w:val="21"/>
          <w:highlight w:val="none"/>
          <w:lang w:val="en-US" w:eastAsia="zh-CN"/>
        </w:rPr>
        <w:t>其中</w:t>
      </w:r>
      <w:r>
        <w:rPr>
          <w:rFonts w:hint="eastAsia" w:ascii="Times New Roman" w:hAnsi="Times New Roman" w:eastAsia="仿宋" w:cs="Times New Roman"/>
          <w:bCs/>
          <w:color w:val="auto"/>
          <w:szCs w:val="21"/>
          <w:highlight w:val="none"/>
          <w:lang w:val="en-US" w:eastAsia="zh-CN"/>
        </w:rPr>
        <w:t>含</w:t>
      </w:r>
      <w:r>
        <w:rPr>
          <w:rFonts w:hint="eastAsia" w:eastAsia="仿宋" w:cs="Times New Roman"/>
          <w:bCs/>
          <w:color w:val="auto"/>
          <w:szCs w:val="21"/>
          <w:highlight w:val="none"/>
          <w:lang w:val="en-US" w:eastAsia="zh-CN"/>
        </w:rPr>
        <w:t>卤</w:t>
      </w:r>
      <w:r>
        <w:rPr>
          <w:rFonts w:hint="eastAsia" w:ascii="Times New Roman" w:hAnsi="Times New Roman" w:eastAsia="仿宋" w:cs="Times New Roman"/>
          <w:bCs/>
          <w:color w:val="auto"/>
          <w:szCs w:val="21"/>
          <w:highlight w:val="none"/>
          <w:lang w:val="en-US" w:eastAsia="zh-CN"/>
        </w:rPr>
        <w:t>有机废气经“</w:t>
      </w:r>
      <w:r>
        <w:rPr>
          <w:rFonts w:hint="eastAsia" w:eastAsia="仿宋" w:cs="Times New Roman"/>
          <w:bCs/>
          <w:color w:val="auto"/>
          <w:szCs w:val="21"/>
          <w:highlight w:val="none"/>
          <w:lang w:val="en-US" w:eastAsia="zh-CN"/>
        </w:rPr>
        <w:t>二级</w:t>
      </w:r>
      <w:r>
        <w:rPr>
          <w:rFonts w:hint="eastAsia" w:ascii="Times New Roman" w:hAnsi="Times New Roman" w:eastAsia="仿宋" w:cs="Times New Roman"/>
          <w:bCs/>
          <w:color w:val="auto"/>
          <w:szCs w:val="21"/>
          <w:highlight w:val="none"/>
          <w:lang w:val="en-US" w:eastAsia="zh-CN"/>
        </w:rPr>
        <w:t>冷凝+</w:t>
      </w:r>
      <w:r>
        <w:rPr>
          <w:rFonts w:hint="eastAsia" w:eastAsia="仿宋" w:cs="Times New Roman"/>
          <w:bCs/>
          <w:color w:val="auto"/>
          <w:szCs w:val="21"/>
          <w:highlight w:val="none"/>
          <w:lang w:val="en-US" w:eastAsia="zh-CN"/>
        </w:rPr>
        <w:t>二级碱喷淋</w:t>
      </w:r>
      <w:r>
        <w:rPr>
          <w:rFonts w:hint="eastAsia" w:ascii="Times New Roman" w:hAnsi="Times New Roman" w:eastAsia="仿宋" w:cs="Times New Roman"/>
          <w:bCs/>
          <w:color w:val="auto"/>
          <w:szCs w:val="21"/>
          <w:highlight w:val="none"/>
          <w:lang w:val="en-US" w:eastAsia="zh-CN"/>
        </w:rPr>
        <w:t>+</w:t>
      </w:r>
      <w:r>
        <w:rPr>
          <w:rFonts w:hint="eastAsia" w:eastAsia="仿宋" w:cs="Times New Roman"/>
          <w:bCs/>
          <w:color w:val="auto"/>
          <w:szCs w:val="21"/>
          <w:highlight w:val="none"/>
          <w:lang w:val="en-US" w:eastAsia="zh-CN"/>
        </w:rPr>
        <w:t>有机分子筛吸附措施</w:t>
      </w:r>
      <w:r>
        <w:rPr>
          <w:rFonts w:hint="eastAsia" w:ascii="Times New Roman" w:hAnsi="Times New Roman" w:eastAsia="仿宋" w:cs="Times New Roman"/>
          <w:bCs/>
          <w:color w:val="auto"/>
          <w:szCs w:val="21"/>
          <w:highlight w:val="none"/>
          <w:lang w:val="en-US" w:eastAsia="zh-CN"/>
        </w:rPr>
        <w:t>”预处理后送入RTO焚烧系统处理达标后排放；不含</w:t>
      </w:r>
      <w:r>
        <w:rPr>
          <w:rFonts w:hint="eastAsia" w:eastAsia="仿宋" w:cs="Times New Roman"/>
          <w:bCs/>
          <w:color w:val="auto"/>
          <w:szCs w:val="21"/>
          <w:highlight w:val="none"/>
          <w:lang w:val="en-US" w:eastAsia="zh-CN"/>
        </w:rPr>
        <w:t>卤</w:t>
      </w:r>
      <w:r>
        <w:rPr>
          <w:rFonts w:hint="eastAsia" w:ascii="Times New Roman" w:hAnsi="Times New Roman" w:eastAsia="仿宋" w:cs="Times New Roman"/>
          <w:bCs/>
          <w:color w:val="auto"/>
          <w:szCs w:val="21"/>
          <w:highlight w:val="none"/>
          <w:lang w:val="en-US" w:eastAsia="zh-CN"/>
        </w:rPr>
        <w:t>有机废气采用“</w:t>
      </w:r>
      <w:r>
        <w:rPr>
          <w:rFonts w:hint="eastAsia" w:eastAsia="仿宋" w:cs="Times New Roman"/>
          <w:bCs/>
          <w:color w:val="auto"/>
          <w:szCs w:val="21"/>
          <w:highlight w:val="none"/>
          <w:lang w:val="en-US" w:eastAsia="zh-CN"/>
        </w:rPr>
        <w:t>二级</w:t>
      </w:r>
      <w:r>
        <w:rPr>
          <w:rFonts w:hint="eastAsia" w:ascii="Times New Roman" w:hAnsi="Times New Roman" w:eastAsia="仿宋" w:cs="Times New Roman"/>
          <w:bCs/>
          <w:color w:val="auto"/>
          <w:szCs w:val="21"/>
          <w:highlight w:val="none"/>
          <w:lang w:val="en-US" w:eastAsia="zh-CN"/>
        </w:rPr>
        <w:t>冷凝+</w:t>
      </w:r>
      <w:r>
        <w:rPr>
          <w:rFonts w:hint="eastAsia" w:eastAsia="仿宋" w:cs="Times New Roman"/>
          <w:bCs/>
          <w:color w:val="auto"/>
          <w:szCs w:val="21"/>
          <w:highlight w:val="none"/>
          <w:lang w:val="en-US" w:eastAsia="zh-CN"/>
        </w:rPr>
        <w:t>二级碱喷淋</w:t>
      </w:r>
      <w:r>
        <w:rPr>
          <w:rFonts w:hint="eastAsia" w:ascii="Times New Roman" w:hAnsi="Times New Roman" w:eastAsia="仿宋" w:cs="Times New Roman"/>
          <w:bCs/>
          <w:color w:val="auto"/>
          <w:szCs w:val="21"/>
          <w:highlight w:val="none"/>
          <w:lang w:val="en-US" w:eastAsia="zh-CN"/>
        </w:rPr>
        <w:t>”预处理后送入RTO焚烧系统处理达标后排放。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  <w:highlight w:val="none"/>
        </w:rPr>
      </w:pPr>
      <w:r>
        <w:rPr>
          <w:rFonts w:eastAsia="仿宋"/>
          <w:bCs/>
          <w:color w:val="auto"/>
          <w:szCs w:val="21"/>
          <w:highlight w:val="none"/>
        </w:rPr>
        <w:t>2、废水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eastAsia="仿宋"/>
          <w:bCs/>
          <w:color w:val="auto"/>
          <w:szCs w:val="21"/>
          <w:highlight w:val="none"/>
          <w:lang w:val="en-US" w:eastAsia="zh-CN"/>
        </w:rPr>
      </w:pPr>
      <w:r>
        <w:rPr>
          <w:rFonts w:hint="eastAsia" w:eastAsia="仿宋"/>
          <w:bCs/>
          <w:color w:val="auto"/>
          <w:szCs w:val="21"/>
          <w:highlight w:val="none"/>
        </w:rPr>
        <w:t>本项目</w:t>
      </w:r>
      <w:r>
        <w:rPr>
          <w:rFonts w:hint="eastAsia" w:eastAsia="仿宋"/>
          <w:bCs/>
          <w:color w:val="auto"/>
          <w:szCs w:val="21"/>
          <w:highlight w:val="none"/>
          <w:lang w:val="en-US" w:eastAsia="zh-CN"/>
        </w:rPr>
        <w:t>利用现有污水处理设施</w:t>
      </w:r>
      <w:r>
        <w:rPr>
          <w:rFonts w:hint="eastAsia" w:eastAsia="仿宋"/>
          <w:bCs/>
          <w:color w:val="auto"/>
          <w:szCs w:val="21"/>
          <w:highlight w:val="none"/>
        </w:rPr>
        <w:t>，</w:t>
      </w:r>
      <w:r>
        <w:rPr>
          <w:rFonts w:hint="eastAsia" w:eastAsia="仿宋"/>
          <w:bCs/>
          <w:color w:val="auto"/>
          <w:szCs w:val="21"/>
          <w:highlight w:val="none"/>
          <w:lang w:val="en-US" w:eastAsia="zh-CN"/>
        </w:rPr>
        <w:t>废水经处理</w:t>
      </w:r>
      <w:r>
        <w:rPr>
          <w:rFonts w:hint="eastAsia" w:eastAsia="仿宋"/>
          <w:bCs/>
          <w:color w:val="auto"/>
          <w:szCs w:val="21"/>
          <w:highlight w:val="none"/>
        </w:rPr>
        <w:t>达标后纳管接入</w:t>
      </w:r>
      <w:r>
        <w:rPr>
          <w:rFonts w:hint="eastAsia" w:eastAsia="仿宋"/>
          <w:bCs/>
          <w:color w:val="auto"/>
          <w:szCs w:val="21"/>
          <w:highlight w:val="none"/>
          <w:lang w:val="en-US" w:eastAsia="zh-CN"/>
        </w:rPr>
        <w:t>横店</w:t>
      </w:r>
      <w:r>
        <w:rPr>
          <w:rFonts w:hint="eastAsia" w:eastAsia="仿宋"/>
          <w:bCs/>
          <w:color w:val="auto"/>
          <w:szCs w:val="21"/>
          <w:highlight w:val="none"/>
        </w:rPr>
        <w:t>污水处理厂</w:t>
      </w:r>
      <w:r>
        <w:rPr>
          <w:rFonts w:eastAsia="仿宋"/>
          <w:bCs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  <w:highlight w:val="none"/>
        </w:rPr>
      </w:pPr>
      <w:r>
        <w:rPr>
          <w:rFonts w:eastAsia="仿宋"/>
          <w:bCs/>
          <w:color w:val="auto"/>
          <w:szCs w:val="21"/>
          <w:highlight w:val="none"/>
        </w:rPr>
        <w:t>3、噪声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eastAsia="仿宋"/>
          <w:bCs/>
          <w:color w:val="auto"/>
          <w:szCs w:val="21"/>
          <w:highlight w:val="none"/>
          <w:lang w:val="en-US" w:eastAsia="zh-CN"/>
        </w:rPr>
      </w:pPr>
      <w:r>
        <w:rPr>
          <w:rFonts w:eastAsia="仿宋"/>
          <w:bCs/>
          <w:color w:val="auto"/>
          <w:szCs w:val="21"/>
          <w:highlight w:val="none"/>
        </w:rPr>
        <w:t>选用低噪设备，对高噪设备进行消声减震，降低噪声对厂界的影响，加强噪声设备的维护管理，避免因不正常运行所导致的噪声增大。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  <w:highlight w:val="none"/>
        </w:rPr>
      </w:pPr>
      <w:r>
        <w:rPr>
          <w:rFonts w:eastAsia="仿宋"/>
          <w:bCs/>
          <w:color w:val="auto"/>
          <w:szCs w:val="21"/>
          <w:highlight w:val="none"/>
        </w:rPr>
        <w:t>固废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eastAsia="仿宋"/>
          <w:color w:val="auto"/>
          <w:kern w:val="24"/>
          <w:szCs w:val="21"/>
          <w:highlight w:val="none"/>
          <w:lang w:val="en-US" w:eastAsia="zh-CN"/>
        </w:rPr>
      </w:pPr>
      <w:r>
        <w:rPr>
          <w:rFonts w:hint="eastAsia" w:eastAsia="仿宋"/>
          <w:color w:val="auto"/>
          <w:kern w:val="24"/>
          <w:szCs w:val="21"/>
          <w:highlight w:val="none"/>
        </w:rPr>
        <w:t>本项目利用现有危废仓库和一般固废仓库。固废按种类的不同分别贮存于厂内危险废物和一般废物暂存点内；</w:t>
      </w:r>
      <w:r>
        <w:rPr>
          <w:rFonts w:hint="eastAsia" w:eastAsia="仿宋"/>
          <w:color w:val="auto"/>
          <w:kern w:val="24"/>
          <w:szCs w:val="21"/>
          <w:highlight w:val="none"/>
          <w:lang w:val="en-US" w:eastAsia="zh-CN"/>
        </w:rPr>
        <w:t>精馏废液</w:t>
      </w:r>
      <w:r>
        <w:rPr>
          <w:rFonts w:hint="eastAsia" w:eastAsia="仿宋"/>
          <w:color w:val="auto"/>
          <w:kern w:val="24"/>
          <w:szCs w:val="21"/>
          <w:highlight w:val="none"/>
        </w:rPr>
        <w:t>、</w:t>
      </w:r>
      <w:r>
        <w:rPr>
          <w:rFonts w:hint="eastAsia" w:eastAsia="仿宋"/>
          <w:color w:val="auto"/>
          <w:kern w:val="24"/>
          <w:szCs w:val="21"/>
          <w:highlight w:val="none"/>
          <w:lang w:val="en-US" w:eastAsia="zh-CN"/>
        </w:rPr>
        <w:t>危化品</w:t>
      </w:r>
      <w:r>
        <w:rPr>
          <w:rFonts w:hint="eastAsia" w:eastAsia="仿宋"/>
          <w:color w:val="auto"/>
          <w:kern w:val="24"/>
          <w:szCs w:val="21"/>
          <w:highlight w:val="none"/>
        </w:rPr>
        <w:t>废包装材料</w:t>
      </w:r>
      <w:r>
        <w:rPr>
          <w:rFonts w:hint="eastAsia" w:eastAsia="仿宋"/>
          <w:color w:val="auto"/>
          <w:kern w:val="24"/>
          <w:szCs w:val="21"/>
          <w:highlight w:val="none"/>
          <w:lang w:eastAsia="zh-CN"/>
        </w:rPr>
        <w:t>、</w:t>
      </w:r>
      <w:r>
        <w:rPr>
          <w:rFonts w:hint="eastAsia" w:eastAsia="仿宋"/>
          <w:color w:val="auto"/>
          <w:kern w:val="24"/>
          <w:szCs w:val="21"/>
          <w:highlight w:val="none"/>
          <w:lang w:val="en-US" w:eastAsia="zh-CN"/>
        </w:rPr>
        <w:t>废试剂瓶、污水站物化污泥</w:t>
      </w:r>
      <w:r>
        <w:rPr>
          <w:rFonts w:hint="eastAsia" w:eastAsia="仿宋"/>
          <w:color w:val="auto"/>
          <w:kern w:val="24"/>
          <w:szCs w:val="21"/>
          <w:highlight w:val="none"/>
        </w:rPr>
        <w:t>等危险废物委托资质单位处置</w:t>
      </w:r>
      <w:r>
        <w:rPr>
          <w:rFonts w:hint="eastAsia" w:eastAsia="仿宋"/>
          <w:color w:val="auto"/>
          <w:kern w:val="24"/>
          <w:szCs w:val="21"/>
          <w:highlight w:val="none"/>
          <w:lang w:eastAsia="zh-CN"/>
        </w:rPr>
        <w:t>；</w:t>
      </w:r>
      <w:r>
        <w:rPr>
          <w:rFonts w:hint="eastAsia" w:eastAsia="仿宋"/>
          <w:color w:val="auto"/>
          <w:kern w:val="24"/>
          <w:szCs w:val="21"/>
          <w:highlight w:val="none"/>
          <w:lang w:val="en-US" w:eastAsia="zh-CN"/>
        </w:rPr>
        <w:t>一般废包装材料委托环卫或</w:t>
      </w:r>
      <w:r>
        <w:rPr>
          <w:rFonts w:hint="default" w:eastAsia="仿宋"/>
          <w:color w:val="auto"/>
          <w:kern w:val="24"/>
          <w:szCs w:val="21"/>
          <w:highlight w:val="none"/>
          <w:lang w:val="en-US" w:eastAsia="zh-CN"/>
        </w:rPr>
        <w:t>出售给回收公司综合利用</w:t>
      </w:r>
      <w:r>
        <w:rPr>
          <w:rFonts w:hint="eastAsia" w:eastAsia="仿宋"/>
          <w:color w:val="auto"/>
          <w:kern w:val="24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  <w:highlight w:val="none"/>
        </w:rPr>
      </w:pPr>
      <w:r>
        <w:rPr>
          <w:rFonts w:hint="eastAsia" w:eastAsia="仿宋"/>
          <w:bCs/>
          <w:color w:val="auto"/>
          <w:szCs w:val="21"/>
          <w:highlight w:val="none"/>
          <w:lang w:val="en-US" w:eastAsia="zh-CN"/>
        </w:rPr>
        <w:t>5</w:t>
      </w:r>
      <w:r>
        <w:rPr>
          <w:rFonts w:eastAsia="仿宋"/>
          <w:bCs/>
          <w:color w:val="auto"/>
          <w:szCs w:val="21"/>
          <w:highlight w:val="none"/>
        </w:rPr>
        <w:t>、环境风险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bCs/>
          <w:color w:val="auto"/>
          <w:szCs w:val="21"/>
          <w:highlight w:val="none"/>
        </w:rPr>
      </w:pPr>
      <w:r>
        <w:rPr>
          <w:rFonts w:eastAsia="仿宋"/>
          <w:bCs/>
          <w:color w:val="auto"/>
          <w:szCs w:val="21"/>
          <w:highlight w:val="none"/>
        </w:rPr>
        <w:t>在严格实施环评报告提出的各类风险防范措施和应急对策基础上，本项目的安全隐患可以控制，一般可认为本项目事故风险水平可以接受。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outlineLvl w:val="0"/>
        <w:rPr>
          <w:rFonts w:eastAsia="仿宋"/>
          <w:b/>
          <w:color w:val="auto"/>
          <w:szCs w:val="21"/>
          <w:highlight w:val="none"/>
        </w:rPr>
      </w:pPr>
      <w:r>
        <w:rPr>
          <w:rFonts w:eastAsia="仿宋"/>
          <w:b/>
          <w:color w:val="auto"/>
          <w:szCs w:val="21"/>
          <w:highlight w:val="none"/>
        </w:rPr>
        <w:t>五、环境影响评价初步结论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kern w:val="24"/>
          <w:szCs w:val="21"/>
          <w:highlight w:val="none"/>
        </w:rPr>
      </w:pPr>
      <w:r>
        <w:rPr>
          <w:rFonts w:eastAsia="仿宋"/>
          <w:color w:val="auto"/>
          <w:kern w:val="24"/>
          <w:szCs w:val="21"/>
          <w:highlight w:val="none"/>
        </w:rPr>
        <w:t>本项目符合国家和地方产业政策，具有良好的经济效益。项目选址符合区域用地规划及城市总体规划等。项目工艺技术及装备水平符合清洁生产要求，污染物经处理后可达标排放，建成后周围环境可以维持当地环境质量现状。只要严格落实本报告提出的各项污染防治措施、严格执行“三同时”制度，从环保角度分析本项目在所选厂址建设是可行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outlineLvl w:val="0"/>
        <w:rPr>
          <w:rFonts w:eastAsia="仿宋"/>
          <w:b/>
          <w:color w:val="auto"/>
          <w:szCs w:val="21"/>
          <w:highlight w:val="none"/>
        </w:rPr>
      </w:pPr>
      <w:r>
        <w:rPr>
          <w:rFonts w:eastAsia="仿宋"/>
          <w:b/>
          <w:color w:val="auto"/>
          <w:szCs w:val="21"/>
          <w:highlight w:val="none"/>
        </w:rPr>
        <w:t>六、征求公众意见的对象、范围、期限和反馈途径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kern w:val="24"/>
          <w:szCs w:val="21"/>
          <w:highlight w:val="none"/>
        </w:rPr>
      </w:pPr>
      <w:r>
        <w:rPr>
          <w:rFonts w:eastAsia="仿宋"/>
          <w:color w:val="auto"/>
          <w:kern w:val="24"/>
          <w:szCs w:val="21"/>
          <w:highlight w:val="none"/>
        </w:rPr>
        <w:t>1、对象和范围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kern w:val="24"/>
          <w:szCs w:val="21"/>
          <w:highlight w:val="none"/>
        </w:rPr>
      </w:pPr>
      <w:r>
        <w:rPr>
          <w:rFonts w:eastAsia="仿宋"/>
          <w:color w:val="auto"/>
          <w:kern w:val="24"/>
          <w:szCs w:val="21"/>
          <w:highlight w:val="none"/>
        </w:rPr>
        <w:t>主要针对项目建设地周边的居民、企事业单位等。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kern w:val="24"/>
          <w:szCs w:val="21"/>
          <w:highlight w:val="none"/>
        </w:rPr>
      </w:pPr>
      <w:r>
        <w:rPr>
          <w:rFonts w:eastAsia="仿宋"/>
          <w:color w:val="auto"/>
          <w:kern w:val="24"/>
          <w:szCs w:val="21"/>
          <w:highlight w:val="none"/>
        </w:rPr>
        <w:t>2、期限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00" w:lineRule="exact"/>
        <w:textAlignment w:val="auto"/>
        <w:rPr>
          <w:rFonts w:ascii="Times New Roman" w:hAnsi="Times New Roman" w:eastAsia="仿宋"/>
          <w:color w:val="auto"/>
          <w:kern w:val="2"/>
          <w:sz w:val="21"/>
          <w:szCs w:val="21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2022年10月9日～2022年10月21日</w:t>
      </w:r>
      <w:r>
        <w:rPr>
          <w:rFonts w:ascii="Times New Roman" w:hAnsi="Times New Roman" w:eastAsia="仿宋"/>
          <w:color w:val="auto"/>
          <w:kern w:val="2"/>
          <w:sz w:val="21"/>
          <w:szCs w:val="21"/>
          <w:highlight w:val="none"/>
        </w:rPr>
        <w:t>，共10个工作日。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kern w:val="24"/>
          <w:szCs w:val="21"/>
          <w:highlight w:val="none"/>
        </w:rPr>
      </w:pPr>
      <w:r>
        <w:rPr>
          <w:rFonts w:eastAsia="仿宋"/>
          <w:color w:val="auto"/>
          <w:kern w:val="24"/>
          <w:szCs w:val="21"/>
          <w:highlight w:val="none"/>
        </w:rPr>
        <w:t>3、反馈途径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kern w:val="24"/>
          <w:szCs w:val="21"/>
          <w:highlight w:val="none"/>
        </w:rPr>
      </w:pPr>
      <w:r>
        <w:rPr>
          <w:rFonts w:eastAsia="仿宋"/>
          <w:color w:val="auto"/>
          <w:kern w:val="24"/>
          <w:szCs w:val="21"/>
          <w:highlight w:val="none"/>
        </w:rPr>
        <w:t>本次公众参与采取网上公示和敏感点张贴公示等形式。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kern w:val="24"/>
          <w:szCs w:val="21"/>
          <w:highlight w:val="none"/>
        </w:rPr>
      </w:pPr>
      <w:r>
        <w:rPr>
          <w:rFonts w:eastAsia="仿宋"/>
          <w:color w:val="auto"/>
          <w:kern w:val="24"/>
          <w:szCs w:val="21"/>
          <w:highlight w:val="none"/>
        </w:rPr>
        <w:t>在此期间，公众（个人或团体）可通过信函、电话或其他方式与建设单位、环评单位、环保部门联系，建议团体单位加盖公章，个人应具名并说明联系方式。建设单位将对公众意见进行整理、归纳和分析，并将公众意见留存备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outlineLvl w:val="0"/>
        <w:rPr>
          <w:rFonts w:eastAsia="仿宋"/>
          <w:b/>
          <w:color w:val="auto"/>
          <w:szCs w:val="21"/>
          <w:highlight w:val="none"/>
        </w:rPr>
      </w:pPr>
      <w:r>
        <w:rPr>
          <w:rFonts w:eastAsia="仿宋"/>
          <w:b/>
          <w:color w:val="auto"/>
          <w:szCs w:val="21"/>
          <w:highlight w:val="none"/>
        </w:rPr>
        <w:t>七、联系方式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kern w:val="24"/>
          <w:szCs w:val="21"/>
          <w:highlight w:val="none"/>
        </w:rPr>
      </w:pPr>
      <w:r>
        <w:rPr>
          <w:rFonts w:eastAsia="仿宋"/>
          <w:color w:val="auto"/>
          <w:kern w:val="24"/>
          <w:szCs w:val="21"/>
          <w:highlight w:val="none"/>
        </w:rPr>
        <w:t>1、建设单位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szCs w:val="21"/>
          <w:highlight w:val="none"/>
        </w:rPr>
      </w:pPr>
      <w:r>
        <w:rPr>
          <w:rFonts w:eastAsia="仿宋"/>
          <w:color w:val="auto"/>
          <w:szCs w:val="21"/>
          <w:highlight w:val="none"/>
        </w:rPr>
        <w:t>单位名称：</w:t>
      </w:r>
      <w:r>
        <w:rPr>
          <w:rFonts w:hint="eastAsia" w:eastAsia="仿宋"/>
          <w:color w:val="auto"/>
          <w:kern w:val="24"/>
          <w:szCs w:val="21"/>
          <w:highlight w:val="none"/>
        </w:rPr>
        <w:t>浙江普洛得邦制药有限公司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szCs w:val="21"/>
          <w:highlight w:val="none"/>
        </w:rPr>
      </w:pPr>
      <w:r>
        <w:rPr>
          <w:rFonts w:eastAsia="仿宋"/>
          <w:color w:val="auto"/>
          <w:szCs w:val="21"/>
          <w:highlight w:val="none"/>
        </w:rPr>
        <w:t>单位地址：</w:t>
      </w:r>
      <w:r>
        <w:rPr>
          <w:rFonts w:hint="eastAsia" w:eastAsia="仿宋"/>
          <w:color w:val="auto"/>
          <w:kern w:val="24"/>
          <w:szCs w:val="21"/>
          <w:highlight w:val="none"/>
        </w:rPr>
        <w:t>浙江省东阳市横店镇江南路519号</w:t>
      </w:r>
      <w:r>
        <w:rPr>
          <w:rFonts w:eastAsia="仿宋"/>
          <w:color w:val="auto"/>
          <w:szCs w:val="21"/>
          <w:highlight w:val="none"/>
        </w:rPr>
        <w:t xml:space="preserve">  联系人：</w:t>
      </w:r>
      <w:r>
        <w:rPr>
          <w:rFonts w:hint="eastAsia" w:eastAsia="仿宋"/>
          <w:color w:val="auto"/>
          <w:szCs w:val="21"/>
          <w:highlight w:val="none"/>
          <w:lang w:val="en-US" w:eastAsia="zh-CN"/>
        </w:rPr>
        <w:t>李工</w:t>
      </w:r>
      <w:r>
        <w:rPr>
          <w:rFonts w:eastAsia="仿宋"/>
          <w:color w:val="auto"/>
          <w:szCs w:val="21"/>
          <w:highlight w:val="non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szCs w:val="21"/>
          <w:highlight w:val="none"/>
        </w:rPr>
      </w:pPr>
      <w:r>
        <w:rPr>
          <w:rFonts w:eastAsia="仿宋"/>
          <w:color w:val="auto"/>
          <w:szCs w:val="21"/>
          <w:highlight w:val="none"/>
        </w:rPr>
        <w:t>联系电话：</w:t>
      </w:r>
      <w:r>
        <w:rPr>
          <w:rFonts w:hint="eastAsia" w:eastAsia="仿宋"/>
          <w:bCs/>
          <w:color w:val="auto"/>
          <w:szCs w:val="21"/>
          <w:highlight w:val="none"/>
          <w:lang w:val="en-US" w:eastAsia="zh-CN"/>
        </w:rPr>
        <w:t>13777529732</w:t>
      </w:r>
      <w:r>
        <w:rPr>
          <w:rFonts w:eastAsia="仿宋"/>
          <w:color w:val="auto"/>
          <w:szCs w:val="21"/>
          <w:highlight w:val="none"/>
        </w:rPr>
        <w:t xml:space="preserve">   邮箱：</w:t>
      </w:r>
      <w:r>
        <w:rPr>
          <w:rFonts w:hint="eastAsia" w:eastAsia="仿宋"/>
          <w:color w:val="auto"/>
          <w:szCs w:val="21"/>
          <w:highlight w:val="none"/>
        </w:rPr>
        <w:t>xianrong.li@apeloa.com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kern w:val="24"/>
          <w:szCs w:val="21"/>
          <w:highlight w:val="none"/>
        </w:rPr>
      </w:pPr>
      <w:r>
        <w:rPr>
          <w:rFonts w:eastAsia="仿宋"/>
          <w:color w:val="auto"/>
          <w:kern w:val="24"/>
          <w:szCs w:val="21"/>
          <w:highlight w:val="none"/>
        </w:rPr>
        <w:t>2、环评单位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kern w:val="24"/>
          <w:szCs w:val="21"/>
          <w:highlight w:val="none"/>
        </w:rPr>
      </w:pPr>
      <w:bookmarkStart w:id="0" w:name="OLE_LINK1"/>
      <w:r>
        <w:rPr>
          <w:rFonts w:eastAsia="仿宋"/>
          <w:color w:val="auto"/>
          <w:kern w:val="24"/>
          <w:szCs w:val="21"/>
          <w:highlight w:val="none"/>
        </w:rPr>
        <w:t>单位名称：浙江省环境科技有限公司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kern w:val="24"/>
          <w:szCs w:val="21"/>
          <w:highlight w:val="none"/>
        </w:rPr>
      </w:pPr>
      <w:r>
        <w:rPr>
          <w:rFonts w:eastAsia="仿宋"/>
          <w:color w:val="auto"/>
          <w:kern w:val="24"/>
          <w:szCs w:val="21"/>
          <w:highlight w:val="none"/>
        </w:rPr>
        <w:t>单位地址：杭州市余杭区五常街道联创街199号    联系人：</w:t>
      </w:r>
      <w:r>
        <w:rPr>
          <w:rFonts w:hint="eastAsia" w:eastAsia="仿宋"/>
          <w:color w:val="auto"/>
          <w:kern w:val="24"/>
          <w:szCs w:val="21"/>
          <w:highlight w:val="none"/>
          <w:lang w:val="en-US" w:eastAsia="zh-CN"/>
        </w:rPr>
        <w:t>葛</w:t>
      </w:r>
      <w:r>
        <w:rPr>
          <w:rFonts w:eastAsia="仿宋"/>
          <w:color w:val="auto"/>
          <w:kern w:val="24"/>
          <w:szCs w:val="21"/>
          <w:highlight w:val="none"/>
        </w:rPr>
        <w:t>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szCs w:val="21"/>
          <w:highlight w:val="none"/>
        </w:rPr>
      </w:pPr>
      <w:r>
        <w:rPr>
          <w:rFonts w:eastAsia="仿宋"/>
          <w:color w:val="auto"/>
          <w:kern w:val="24"/>
          <w:szCs w:val="21"/>
          <w:highlight w:val="none"/>
        </w:rPr>
        <w:t>联系电话：0571-</w:t>
      </w:r>
      <w:r>
        <w:rPr>
          <w:rFonts w:hint="eastAsia" w:eastAsia="仿宋"/>
          <w:color w:val="auto"/>
          <w:kern w:val="24"/>
          <w:szCs w:val="21"/>
          <w:highlight w:val="none"/>
          <w:lang w:val="en-US" w:eastAsia="zh-CN"/>
        </w:rPr>
        <w:t>88775626</w:t>
      </w:r>
      <w:r>
        <w:rPr>
          <w:rFonts w:eastAsia="仿宋"/>
          <w:color w:val="auto"/>
          <w:kern w:val="24"/>
          <w:szCs w:val="21"/>
          <w:highlight w:val="none"/>
        </w:rPr>
        <w:t xml:space="preserve">        </w:t>
      </w:r>
      <w:r>
        <w:rPr>
          <w:rFonts w:eastAsia="仿宋"/>
          <w:color w:val="auto"/>
          <w:szCs w:val="21"/>
          <w:highlight w:val="none"/>
        </w:rPr>
        <w:t>邮箱：</w:t>
      </w:r>
      <w:r>
        <w:rPr>
          <w:rFonts w:hint="eastAsia" w:eastAsia="仿宋"/>
          <w:color w:val="auto"/>
          <w:szCs w:val="21"/>
          <w:highlight w:val="none"/>
          <w:lang w:val="en-US" w:eastAsia="zh-CN"/>
        </w:rPr>
        <w:t>1136475195</w:t>
      </w:r>
      <w:r>
        <w:rPr>
          <w:rFonts w:eastAsia="仿宋"/>
          <w:bCs/>
          <w:color w:val="auto"/>
          <w:szCs w:val="21"/>
          <w:highlight w:val="none"/>
        </w:rPr>
        <w:t>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kern w:val="24"/>
          <w:szCs w:val="21"/>
          <w:highlight w:val="none"/>
        </w:rPr>
      </w:pPr>
      <w:r>
        <w:rPr>
          <w:rFonts w:eastAsia="仿宋"/>
          <w:color w:val="auto"/>
          <w:kern w:val="24"/>
          <w:szCs w:val="21"/>
          <w:highlight w:val="none"/>
        </w:rPr>
        <w:t>3、</w:t>
      </w:r>
      <w:r>
        <w:rPr>
          <w:rFonts w:hint="eastAsia" w:eastAsia="仿宋"/>
          <w:color w:val="auto"/>
          <w:kern w:val="24"/>
          <w:szCs w:val="21"/>
          <w:highlight w:val="none"/>
        </w:rPr>
        <w:t>审批部门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eastAsia="仿宋"/>
          <w:color w:val="auto"/>
          <w:kern w:val="24"/>
          <w:szCs w:val="21"/>
          <w:highlight w:val="none"/>
          <w:lang w:val="en-US" w:eastAsia="zh-CN"/>
        </w:rPr>
      </w:pPr>
      <w:r>
        <w:rPr>
          <w:rFonts w:eastAsia="仿宋"/>
          <w:color w:val="auto"/>
          <w:kern w:val="24"/>
          <w:szCs w:val="21"/>
          <w:highlight w:val="none"/>
        </w:rPr>
        <w:t>单位名称：</w:t>
      </w:r>
      <w:r>
        <w:rPr>
          <w:rFonts w:hint="eastAsia" w:eastAsia="仿宋"/>
          <w:color w:val="auto"/>
          <w:kern w:val="24"/>
          <w:szCs w:val="21"/>
          <w:highlight w:val="none"/>
          <w:lang w:val="en-US" w:eastAsia="zh-CN"/>
        </w:rPr>
        <w:t>金华市生态环境局东阳分局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eastAsia="仿宋"/>
          <w:color w:val="auto"/>
          <w:kern w:val="24"/>
          <w:szCs w:val="21"/>
          <w:highlight w:val="none"/>
          <w:lang w:val="en-US"/>
        </w:rPr>
      </w:pPr>
      <w:r>
        <w:rPr>
          <w:rFonts w:eastAsia="仿宋"/>
          <w:color w:val="auto"/>
          <w:kern w:val="24"/>
          <w:szCs w:val="21"/>
          <w:highlight w:val="none"/>
        </w:rPr>
        <w:t>单位地址：</w:t>
      </w:r>
      <w:r>
        <w:rPr>
          <w:rFonts w:hint="eastAsia" w:eastAsia="仿宋"/>
          <w:kern w:val="24"/>
          <w:szCs w:val="21"/>
        </w:rPr>
        <w:t>东阳市人民路269号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default" w:eastAsia="仿宋"/>
          <w:color w:val="auto"/>
          <w:kern w:val="24"/>
          <w:szCs w:val="21"/>
          <w:highlight w:val="none"/>
          <w:lang w:val="en-US" w:eastAsia="zh-CN"/>
        </w:rPr>
      </w:pPr>
      <w:r>
        <w:rPr>
          <w:rFonts w:eastAsia="仿宋"/>
          <w:color w:val="auto"/>
          <w:kern w:val="24"/>
          <w:szCs w:val="21"/>
          <w:highlight w:val="none"/>
        </w:rPr>
        <w:t>联系电话：</w:t>
      </w:r>
      <w:r>
        <w:rPr>
          <w:rFonts w:hint="eastAsia" w:eastAsia="仿宋"/>
          <w:kern w:val="24"/>
          <w:szCs w:val="21"/>
        </w:rPr>
        <w:t>0579-86656079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eastAsia="仿宋"/>
          <w:b/>
          <w:color w:val="auto"/>
          <w:szCs w:val="21"/>
          <w:highlight w:val="none"/>
        </w:rPr>
      </w:pPr>
      <w:r>
        <w:rPr>
          <w:rFonts w:eastAsia="仿宋"/>
          <w:b/>
          <w:color w:val="auto"/>
          <w:szCs w:val="21"/>
          <w:highlight w:val="none"/>
        </w:rPr>
        <w:t>八、环境影响报告书公开方式及时间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eastAsia="仿宋"/>
          <w:color w:val="auto"/>
          <w:kern w:val="24"/>
          <w:szCs w:val="21"/>
          <w:highlight w:val="none"/>
        </w:rPr>
      </w:pPr>
      <w:r>
        <w:rPr>
          <w:rFonts w:eastAsia="仿宋"/>
          <w:color w:val="auto"/>
          <w:kern w:val="24"/>
          <w:szCs w:val="21"/>
          <w:highlight w:val="none"/>
        </w:rPr>
        <w:t>本项目环境影响报告书在正式报送环保部门审批前进行全本公示。</w:t>
      </w:r>
      <w:r>
        <w:rPr>
          <w:rFonts w:eastAsia="仿宋"/>
          <w:kern w:val="24"/>
          <w:szCs w:val="21"/>
        </w:rPr>
        <w:t>公示期间公众可登录</w:t>
      </w:r>
      <w:r>
        <w:rPr>
          <w:rFonts w:hint="eastAsia" w:eastAsia="仿宋"/>
          <w:kern w:val="24"/>
          <w:szCs w:val="21"/>
          <w:highlight w:val="none"/>
        </w:rPr>
        <w:t>普洛药业股份有限公司</w:t>
      </w:r>
      <w:r>
        <w:rPr>
          <w:rFonts w:eastAsia="仿宋"/>
          <w:kern w:val="24"/>
          <w:szCs w:val="21"/>
          <w:highlight w:val="none"/>
        </w:rPr>
        <w:t>（网址：</w:t>
      </w:r>
      <w:r>
        <w:rPr>
          <w:rFonts w:hint="eastAsia" w:eastAsia="仿宋"/>
          <w:kern w:val="24"/>
          <w:szCs w:val="21"/>
          <w:highlight w:val="none"/>
        </w:rPr>
        <w:t>/http://www.apeloa.com//</w:t>
      </w:r>
      <w:r>
        <w:rPr>
          <w:rFonts w:eastAsia="仿宋"/>
          <w:kern w:val="24"/>
          <w:szCs w:val="21"/>
          <w:highlight w:val="none"/>
        </w:rPr>
        <w:t>）查询。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jc w:val="right"/>
        <w:textAlignment w:val="auto"/>
        <w:rPr>
          <w:rFonts w:eastAsia="仿宋"/>
          <w:color w:val="auto"/>
          <w:kern w:val="24"/>
          <w:szCs w:val="21"/>
          <w:highlight w:val="none"/>
        </w:rPr>
      </w:pPr>
      <w:r>
        <w:rPr>
          <w:rFonts w:hint="eastAsia" w:eastAsia="仿宋"/>
          <w:color w:val="auto"/>
          <w:kern w:val="24"/>
          <w:szCs w:val="21"/>
          <w:highlight w:val="none"/>
        </w:rPr>
        <w:t>浙江普洛得邦制药有限公司</w:t>
      </w:r>
      <w:r>
        <w:rPr>
          <w:rFonts w:eastAsia="仿宋"/>
          <w:color w:val="auto"/>
          <w:kern w:val="24"/>
          <w:szCs w:val="21"/>
          <w:highlight w:val="none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jc w:val="right"/>
        <w:textAlignment w:val="auto"/>
        <w:rPr>
          <w:rFonts w:eastAsia="仿宋"/>
          <w:color w:val="auto"/>
          <w:kern w:val="24"/>
          <w:szCs w:val="21"/>
          <w:highlight w:val="none"/>
        </w:rPr>
      </w:pPr>
      <w:r>
        <w:rPr>
          <w:rFonts w:eastAsia="仿宋"/>
          <w:color w:val="auto"/>
          <w:kern w:val="24"/>
          <w:szCs w:val="21"/>
          <w:highlight w:val="none"/>
        </w:rPr>
        <w:t xml:space="preserve">   202</w:t>
      </w:r>
      <w:r>
        <w:rPr>
          <w:rFonts w:hint="eastAsia" w:eastAsia="仿宋"/>
          <w:color w:val="auto"/>
          <w:kern w:val="24"/>
          <w:szCs w:val="21"/>
          <w:highlight w:val="none"/>
          <w:lang w:val="en-US" w:eastAsia="zh-CN"/>
        </w:rPr>
        <w:t>2</w:t>
      </w:r>
      <w:r>
        <w:rPr>
          <w:rFonts w:eastAsia="仿宋"/>
          <w:color w:val="auto"/>
          <w:kern w:val="24"/>
          <w:szCs w:val="21"/>
          <w:highlight w:val="none"/>
        </w:rPr>
        <w:t>年</w:t>
      </w:r>
      <w:r>
        <w:rPr>
          <w:rFonts w:hint="eastAsia" w:eastAsia="仿宋"/>
          <w:color w:val="auto"/>
          <w:kern w:val="24"/>
          <w:szCs w:val="21"/>
          <w:highlight w:val="none"/>
          <w:lang w:val="en-US" w:eastAsia="zh-CN"/>
        </w:rPr>
        <w:t>10</w:t>
      </w:r>
      <w:r>
        <w:rPr>
          <w:rFonts w:eastAsia="仿宋"/>
          <w:color w:val="auto"/>
          <w:kern w:val="24"/>
          <w:szCs w:val="21"/>
          <w:highlight w:val="none"/>
        </w:rPr>
        <w:t>月</w:t>
      </w:r>
      <w:r>
        <w:rPr>
          <w:rFonts w:hint="eastAsia" w:eastAsia="仿宋"/>
          <w:color w:val="auto"/>
          <w:kern w:val="24"/>
          <w:szCs w:val="21"/>
          <w:highlight w:val="none"/>
          <w:lang w:val="en-US" w:eastAsia="zh-CN"/>
        </w:rPr>
        <w:t>9</w:t>
      </w:r>
      <w:r>
        <w:rPr>
          <w:rFonts w:eastAsia="仿宋"/>
          <w:color w:val="auto"/>
          <w:kern w:val="24"/>
          <w:szCs w:val="21"/>
          <w:highlight w:val="none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41718"/>
    <w:multiLevelType w:val="singleLevel"/>
    <w:tmpl w:val="A5241718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1MmMyMzg3NTI5NTgzYzNhZDZmNTBlNTI2MjQxMjcifQ=="/>
  </w:docVars>
  <w:rsids>
    <w:rsidRoot w:val="00A97FF9"/>
    <w:rsid w:val="00017F0B"/>
    <w:rsid w:val="000248D5"/>
    <w:rsid w:val="00045420"/>
    <w:rsid w:val="00046427"/>
    <w:rsid w:val="00065434"/>
    <w:rsid w:val="00083DD3"/>
    <w:rsid w:val="000852C5"/>
    <w:rsid w:val="000970E1"/>
    <w:rsid w:val="000A4F95"/>
    <w:rsid w:val="000F55BF"/>
    <w:rsid w:val="00100846"/>
    <w:rsid w:val="00106D15"/>
    <w:rsid w:val="00181642"/>
    <w:rsid w:val="00183733"/>
    <w:rsid w:val="001E4305"/>
    <w:rsid w:val="001E62C4"/>
    <w:rsid w:val="00260C6E"/>
    <w:rsid w:val="0026536B"/>
    <w:rsid w:val="00325D8D"/>
    <w:rsid w:val="00364F59"/>
    <w:rsid w:val="00366450"/>
    <w:rsid w:val="003A2CD2"/>
    <w:rsid w:val="003A4363"/>
    <w:rsid w:val="00402089"/>
    <w:rsid w:val="00402D2C"/>
    <w:rsid w:val="0040504A"/>
    <w:rsid w:val="00427D50"/>
    <w:rsid w:val="00437BBF"/>
    <w:rsid w:val="0045470A"/>
    <w:rsid w:val="00456496"/>
    <w:rsid w:val="004C5FD5"/>
    <w:rsid w:val="00540187"/>
    <w:rsid w:val="005904F8"/>
    <w:rsid w:val="0059316F"/>
    <w:rsid w:val="005E6CFF"/>
    <w:rsid w:val="00614F9F"/>
    <w:rsid w:val="00623151"/>
    <w:rsid w:val="00654EFD"/>
    <w:rsid w:val="006C5760"/>
    <w:rsid w:val="006F374E"/>
    <w:rsid w:val="00707DB7"/>
    <w:rsid w:val="007123A5"/>
    <w:rsid w:val="007377E0"/>
    <w:rsid w:val="007426CD"/>
    <w:rsid w:val="007B41A5"/>
    <w:rsid w:val="007C76C8"/>
    <w:rsid w:val="007E5AE2"/>
    <w:rsid w:val="0080782E"/>
    <w:rsid w:val="0085424D"/>
    <w:rsid w:val="00860FC0"/>
    <w:rsid w:val="00863A21"/>
    <w:rsid w:val="00874E35"/>
    <w:rsid w:val="008951A1"/>
    <w:rsid w:val="008B264C"/>
    <w:rsid w:val="008C4DEA"/>
    <w:rsid w:val="008E2ECE"/>
    <w:rsid w:val="00922AC2"/>
    <w:rsid w:val="00931506"/>
    <w:rsid w:val="00960DEA"/>
    <w:rsid w:val="009710B6"/>
    <w:rsid w:val="009F0481"/>
    <w:rsid w:val="00A268C4"/>
    <w:rsid w:val="00A2798D"/>
    <w:rsid w:val="00A339F7"/>
    <w:rsid w:val="00A41823"/>
    <w:rsid w:val="00A84E3E"/>
    <w:rsid w:val="00A97FF9"/>
    <w:rsid w:val="00AA4E52"/>
    <w:rsid w:val="00B73D97"/>
    <w:rsid w:val="00B82D3B"/>
    <w:rsid w:val="00BA7ED3"/>
    <w:rsid w:val="00BC4C7E"/>
    <w:rsid w:val="00BD6550"/>
    <w:rsid w:val="00BE5E3B"/>
    <w:rsid w:val="00C0017B"/>
    <w:rsid w:val="00C063AB"/>
    <w:rsid w:val="00C151C9"/>
    <w:rsid w:val="00D17B9F"/>
    <w:rsid w:val="00D17E15"/>
    <w:rsid w:val="00D55FAC"/>
    <w:rsid w:val="00D64618"/>
    <w:rsid w:val="00D7351E"/>
    <w:rsid w:val="00D90435"/>
    <w:rsid w:val="00DE5186"/>
    <w:rsid w:val="00DF283B"/>
    <w:rsid w:val="00DF7C07"/>
    <w:rsid w:val="00E5132B"/>
    <w:rsid w:val="00E54F3C"/>
    <w:rsid w:val="00E5775A"/>
    <w:rsid w:val="00E96251"/>
    <w:rsid w:val="00EB3C7E"/>
    <w:rsid w:val="00EE0242"/>
    <w:rsid w:val="00EF3773"/>
    <w:rsid w:val="00EF3AB0"/>
    <w:rsid w:val="00F059E7"/>
    <w:rsid w:val="00F404A4"/>
    <w:rsid w:val="00F95E30"/>
    <w:rsid w:val="00FE394A"/>
    <w:rsid w:val="00FF7EA8"/>
    <w:rsid w:val="01A65DFA"/>
    <w:rsid w:val="02A51395"/>
    <w:rsid w:val="02B67CB3"/>
    <w:rsid w:val="04085D02"/>
    <w:rsid w:val="04AC06A2"/>
    <w:rsid w:val="05443AA3"/>
    <w:rsid w:val="07B34C22"/>
    <w:rsid w:val="07F23AC2"/>
    <w:rsid w:val="0C0D3381"/>
    <w:rsid w:val="0CA21CE5"/>
    <w:rsid w:val="0DEE3B31"/>
    <w:rsid w:val="0DF620E7"/>
    <w:rsid w:val="0E2473C5"/>
    <w:rsid w:val="0E416D43"/>
    <w:rsid w:val="0EF24FFA"/>
    <w:rsid w:val="0FA25569"/>
    <w:rsid w:val="102023BA"/>
    <w:rsid w:val="1035217A"/>
    <w:rsid w:val="10A05526"/>
    <w:rsid w:val="11F63AFF"/>
    <w:rsid w:val="137B1A4D"/>
    <w:rsid w:val="141D1337"/>
    <w:rsid w:val="14510556"/>
    <w:rsid w:val="14921E58"/>
    <w:rsid w:val="14B803E4"/>
    <w:rsid w:val="162C341D"/>
    <w:rsid w:val="16E56395"/>
    <w:rsid w:val="16FE136D"/>
    <w:rsid w:val="17BB0154"/>
    <w:rsid w:val="18E901F3"/>
    <w:rsid w:val="1A870D8C"/>
    <w:rsid w:val="1BC30A4E"/>
    <w:rsid w:val="1EB2412A"/>
    <w:rsid w:val="201F16C7"/>
    <w:rsid w:val="231F74CB"/>
    <w:rsid w:val="23311302"/>
    <w:rsid w:val="247773B7"/>
    <w:rsid w:val="2BA500B1"/>
    <w:rsid w:val="2C4D4000"/>
    <w:rsid w:val="2C536CF6"/>
    <w:rsid w:val="2D022DCA"/>
    <w:rsid w:val="2D2307FE"/>
    <w:rsid w:val="2D4376B9"/>
    <w:rsid w:val="2EE6563F"/>
    <w:rsid w:val="2F967558"/>
    <w:rsid w:val="308C0468"/>
    <w:rsid w:val="308E0386"/>
    <w:rsid w:val="318F0E0E"/>
    <w:rsid w:val="33BE2F6D"/>
    <w:rsid w:val="33FE378E"/>
    <w:rsid w:val="369377D4"/>
    <w:rsid w:val="37182A56"/>
    <w:rsid w:val="38273DBE"/>
    <w:rsid w:val="3AD24358"/>
    <w:rsid w:val="3B4950A4"/>
    <w:rsid w:val="3B9A2912"/>
    <w:rsid w:val="3CB701FA"/>
    <w:rsid w:val="3F4C7741"/>
    <w:rsid w:val="42052465"/>
    <w:rsid w:val="42A27644"/>
    <w:rsid w:val="433F2330"/>
    <w:rsid w:val="43E94928"/>
    <w:rsid w:val="44A3578C"/>
    <w:rsid w:val="4A53246A"/>
    <w:rsid w:val="4B9761E7"/>
    <w:rsid w:val="4CD81853"/>
    <w:rsid w:val="4E175D08"/>
    <w:rsid w:val="50D71E6B"/>
    <w:rsid w:val="51D64352"/>
    <w:rsid w:val="53B452B9"/>
    <w:rsid w:val="58113B8F"/>
    <w:rsid w:val="5874217F"/>
    <w:rsid w:val="5AEB61E8"/>
    <w:rsid w:val="5DCD7028"/>
    <w:rsid w:val="5ED4386E"/>
    <w:rsid w:val="62CC7B2D"/>
    <w:rsid w:val="659165DD"/>
    <w:rsid w:val="67AD21F1"/>
    <w:rsid w:val="6C4A4C23"/>
    <w:rsid w:val="6CC574A6"/>
    <w:rsid w:val="6E4E2032"/>
    <w:rsid w:val="724C5D84"/>
    <w:rsid w:val="733A5F1C"/>
    <w:rsid w:val="73CB617F"/>
    <w:rsid w:val="77FD2DD4"/>
    <w:rsid w:val="78F321CE"/>
    <w:rsid w:val="797130BB"/>
    <w:rsid w:val="7ABF3B32"/>
    <w:rsid w:val="7BD7173B"/>
    <w:rsid w:val="7D637428"/>
    <w:rsid w:val="7DE83F24"/>
    <w:rsid w:val="7EA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line="500" w:lineRule="exact"/>
      <w:outlineLvl w:val="0"/>
    </w:pPr>
    <w:rPr>
      <w:b/>
      <w:bCs/>
      <w:kern w:val="44"/>
      <w:sz w:val="30"/>
      <w:szCs w:val="28"/>
      <w:lang w:val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ind w:firstLine="420"/>
    </w:pPr>
    <w:rPr>
      <w:rFonts w:asciiTheme="minorHAnsi" w:hAnsiTheme="minorHAnsi" w:cstheme="minorBidi"/>
      <w:sz w:val="24"/>
      <w:szCs w:val="22"/>
    </w:r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 w:val="28"/>
      <w:szCs w:val="24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一级标题"/>
    <w:basedOn w:val="1"/>
    <w:qFormat/>
    <w:uiPriority w:val="0"/>
    <w:pPr>
      <w:suppressLineNumbers/>
      <w:spacing w:line="500" w:lineRule="exact"/>
      <w:ind w:right="100" w:rightChars="100"/>
    </w:pPr>
    <w:rPr>
      <w:b/>
      <w:kern w:val="28"/>
      <w:sz w:val="30"/>
      <w:szCs w:val="20"/>
    </w:rPr>
  </w:style>
  <w:style w:type="character" w:customStyle="1" w:styleId="15">
    <w:name w:val="标题 1 字符"/>
    <w:basedOn w:val="1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1 字符1"/>
    <w:link w:val="3"/>
    <w:qFormat/>
    <w:locked/>
    <w:uiPriority w:val="0"/>
    <w:rPr>
      <w:rFonts w:ascii="Times New Roman" w:hAnsi="Times New Roman"/>
      <w:b/>
      <w:bCs/>
      <w:kern w:val="44"/>
      <w:sz w:val="30"/>
      <w:szCs w:val="28"/>
      <w:lang w:val="zh-CN" w:eastAsia="zh-CN"/>
    </w:rPr>
  </w:style>
  <w:style w:type="paragraph" w:customStyle="1" w:styleId="17">
    <w:name w:val="正文001"/>
    <w:basedOn w:val="1"/>
    <w:qFormat/>
    <w:uiPriority w:val="0"/>
    <w:pPr>
      <w:spacing w:before="60" w:line="460" w:lineRule="exact"/>
      <w:ind w:firstLine="482"/>
    </w:pPr>
    <w:rPr>
      <w:rFonts w:ascii="Arial" w:hAnsi="Arial"/>
      <w:kern w:val="0"/>
      <w:sz w:val="24"/>
    </w:rPr>
  </w:style>
  <w:style w:type="character" w:customStyle="1" w:styleId="18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20">
    <w:name w:val="批注文字 字符"/>
    <w:basedOn w:val="12"/>
    <w:link w:val="4"/>
    <w:semiHidden/>
    <w:qFormat/>
    <w:uiPriority w:val="99"/>
    <w:rPr>
      <w:kern w:val="2"/>
      <w:sz w:val="21"/>
      <w:szCs w:val="24"/>
    </w:rPr>
  </w:style>
  <w:style w:type="character" w:customStyle="1" w:styleId="21">
    <w:name w:val="批注主题 字符"/>
    <w:basedOn w:val="20"/>
    <w:link w:val="10"/>
    <w:semiHidden/>
    <w:qFormat/>
    <w:uiPriority w:val="99"/>
    <w:rPr>
      <w:b/>
      <w:bCs/>
      <w:kern w:val="2"/>
      <w:sz w:val="21"/>
      <w:szCs w:val="24"/>
    </w:rPr>
  </w:style>
  <w:style w:type="character" w:customStyle="1" w:styleId="22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  <w:style w:type="paragraph" w:customStyle="1" w:styleId="23">
    <w:name w:val="表格文字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80" w:lineRule="exact"/>
      <w:ind w:left="0" w:right="0" w:firstLine="0" w:firstLineChars="0"/>
      <w:jc w:val="center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2359</Words>
  <Characters>3596</Characters>
  <Lines>17</Lines>
  <Paragraphs>4</Paragraphs>
  <TotalTime>2</TotalTime>
  <ScaleCrop>false</ScaleCrop>
  <LinksUpToDate>false</LinksUpToDate>
  <CharactersWithSpaces>3625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2020-04-23T06:49:00Z</dcterms:created>
  <dc:creator>dell</dc:creator>
  <cp:lastModifiedBy>葛葛</cp:lastModifiedBy>
  <cp:lastPrinted>2018-03-19T07:40:00Z</cp:lastPrinted>
  <dcterms:modified xsi:type="dcterms:W3CDTF">2022-10-09T02:11:43Z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CC941A6E01854BDC9999A43412DAA6BF</vt:lpwstr>
  </property>
</Properties>
</file>